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213" w:rsidRPr="005C76CA" w:rsidRDefault="00CC554D" w:rsidP="005C76CA">
      <w:pPr>
        <w:pStyle w:val="TechnicalBlock"/>
        <w:ind w:left="-1134" w:right="-1134"/>
      </w:pPr>
      <w:bookmarkStart w:id="0" w:name="DW_BM_COVERPAGE"/>
      <w:bookmarkStart w:id="1" w:name="_GoBack"/>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13692/21.&#10;Subject Codes: JEUN 127 EDUC 369 SOC 641 EMPL 480.&#10;Heading: DOPIS.&#10;Originator: Generalni sekretariat Sveta.&#10;Recipient: Odbor stalnih predstavnikov/Svet.&#10;Subject: Osnutek sklepov Sveta o izvajanju strategije EU za mlade (2019–2021) – odobritev.&#10;Commission Document Number: Not Set.&#10;Preceeding Document Number: Not Set.&#10;Location: Bruselj.&#10;Date: 12. november 2021.&#10;Interinstitutional Files: Not Set.&#10;Institutional Framework: Svet Evropske unije.&#10;Language: SL.&#10;Distribution Code: LIMITE.&#10;GUID: 4917333366486920526_0" style="width:568.4pt;height:332.2pt">
            <v:imagedata r:id="rId8" o:title=""/>
          </v:shape>
        </w:pict>
      </w:r>
      <w:bookmarkEnd w:id="0"/>
    </w:p>
    <w:p w:rsidR="008F4EDA" w:rsidRPr="002055BC" w:rsidRDefault="008F4EDA" w:rsidP="00523A69">
      <w:pPr>
        <w:rPr>
          <w:rFonts w:eastAsia="Times New Roman"/>
          <w:szCs w:val="24"/>
        </w:rPr>
      </w:pPr>
      <w:r w:rsidRPr="002055BC">
        <w:t>Pošiljamo vam osnutek sklepov Sveta o navedeni zadevi, kot ga je pripravila Delovna skupina za mladino. Z besedilom zdaj soglašajo vse delegacije.</w:t>
      </w:r>
    </w:p>
    <w:p w:rsidR="008F4EDA" w:rsidRPr="002055BC" w:rsidRDefault="008F4EDA" w:rsidP="005C76CA">
      <w:pPr>
        <w:widowControl w:val="0"/>
        <w:spacing w:before="0" w:after="240"/>
      </w:pPr>
      <w:r w:rsidRPr="002055BC">
        <w:rPr>
          <w:u w:val="single"/>
        </w:rPr>
        <w:t>Odbor stalnih predstavnikov</w:t>
      </w:r>
      <w:r w:rsidRPr="002055BC">
        <w:t xml:space="preserve"> naj zato potrdi dogovor, ki ga je o priloženem besedilu dosegla Delovna skupina za mladino, in navedeno besedilo posreduje Svetu za izobraževanje, mladino, kulturo in šport, da bo odobreno na zasedanju 29. in 30. novembra 2021 ter nato objavljeno v Uradnem listu Evropske unije.</w:t>
      </w:r>
    </w:p>
    <w:p w:rsidR="00EE1681" w:rsidRPr="002055BC" w:rsidRDefault="00EE1681" w:rsidP="00EE1681">
      <w:pPr>
        <w:pStyle w:val="FinalLine"/>
      </w:pPr>
    </w:p>
    <w:p w:rsidR="00EE1681" w:rsidRPr="002055BC" w:rsidRDefault="00EE1681" w:rsidP="00EE1681">
      <w:pPr>
        <w:sectPr w:rsidR="00EE1681" w:rsidRPr="002055BC" w:rsidSect="005C76CA">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1"/>
          <w:cols w:space="720"/>
          <w:titlePg/>
          <w:docGrid w:linePitch="360"/>
        </w:sectPr>
      </w:pPr>
    </w:p>
    <w:p w:rsidR="00EE1681" w:rsidRPr="002055BC" w:rsidRDefault="00EE1681" w:rsidP="00EE1681">
      <w:pPr>
        <w:pStyle w:val="Annex"/>
        <w:rPr>
          <w:b w:val="0"/>
          <w:bCs/>
        </w:rPr>
      </w:pPr>
      <w:r w:rsidRPr="002055BC">
        <w:rPr>
          <w:b w:val="0"/>
          <w:bCs/>
        </w:rPr>
        <w:lastRenderedPageBreak/>
        <w:t>PRILOGA</w:t>
      </w:r>
    </w:p>
    <w:p w:rsidR="006A63B4" w:rsidRPr="002055BC" w:rsidRDefault="006A63B4" w:rsidP="006A63B4">
      <w:pPr>
        <w:pBdr>
          <w:top w:val="nil"/>
          <w:left w:val="nil"/>
          <w:bottom w:val="nil"/>
          <w:right w:val="nil"/>
          <w:between w:val="nil"/>
        </w:pBdr>
        <w:spacing w:before="200"/>
        <w:jc w:val="center"/>
        <w:rPr>
          <w:rFonts w:eastAsia="Times New Roman"/>
          <w:b/>
          <w:bCs/>
          <w:color w:val="000000"/>
          <w:spacing w:val="-6"/>
          <w:szCs w:val="24"/>
        </w:rPr>
      </w:pPr>
      <w:r w:rsidRPr="002055BC">
        <w:rPr>
          <w:b/>
          <w:bCs/>
          <w:color w:val="000000"/>
          <w:szCs w:val="24"/>
        </w:rPr>
        <w:t>Osnutek sklepov Sveta o izvajanju strategije EU za mlade (2019–2021)</w:t>
      </w:r>
    </w:p>
    <w:p w:rsidR="006A63B4" w:rsidRPr="002055BC" w:rsidRDefault="006A63B4" w:rsidP="006A63B4">
      <w:pPr>
        <w:pBdr>
          <w:top w:val="nil"/>
          <w:left w:val="nil"/>
          <w:bottom w:val="nil"/>
          <w:right w:val="nil"/>
          <w:between w:val="nil"/>
        </w:pBdr>
        <w:spacing w:before="200"/>
        <w:rPr>
          <w:rFonts w:eastAsia="Times New Roman"/>
          <w:color w:val="000000"/>
          <w:szCs w:val="24"/>
        </w:rPr>
      </w:pPr>
      <w:r w:rsidRPr="002055BC">
        <w:rPr>
          <w:color w:val="000000"/>
          <w:szCs w:val="24"/>
        </w:rPr>
        <w:t>SVET EVROPSKE UNIJE IN PREDSTAVNIKI VLAD DRŽAV ČLANIC, KI SO SE SESTALI V OKVIRU SVETA –</w:t>
      </w:r>
    </w:p>
    <w:p w:rsidR="006A63B4" w:rsidRPr="002055BC" w:rsidRDefault="006A63B4" w:rsidP="00665DDB">
      <w:pPr>
        <w:pBdr>
          <w:top w:val="nil"/>
          <w:left w:val="nil"/>
          <w:bottom w:val="nil"/>
          <w:right w:val="nil"/>
          <w:between w:val="nil"/>
        </w:pBdr>
        <w:rPr>
          <w:rFonts w:eastAsia="Times New Roman"/>
          <w:color w:val="000000"/>
          <w:szCs w:val="24"/>
        </w:rPr>
      </w:pPr>
      <w:r w:rsidRPr="002055BC">
        <w:rPr>
          <w:color w:val="000000"/>
          <w:szCs w:val="24"/>
        </w:rPr>
        <w:t>OB OPOZARJANJU NA NASLEDNJE:</w:t>
      </w:r>
    </w:p>
    <w:p w:rsidR="006A63B4" w:rsidRPr="002055BC" w:rsidRDefault="006A63B4" w:rsidP="00665DDB">
      <w:pPr>
        <w:pStyle w:val="Point123"/>
        <w:numPr>
          <w:ilvl w:val="0"/>
          <w:numId w:val="2"/>
        </w:numPr>
      </w:pPr>
      <w:r w:rsidRPr="002055BC">
        <w:t>V Resoluciji Sveta o okviru za evropsko sodelovanje na področju mladine: Strategija Evropske unije za mlade 2019–2027 je Komisija pozvana, naj vsaka tri leta poroča o izvajanju strategije EU za mlade.</w:t>
      </w:r>
    </w:p>
    <w:p w:rsidR="006A63B4" w:rsidRPr="002055BC" w:rsidRDefault="006A63B4" w:rsidP="00665DDB">
      <w:pPr>
        <w:pBdr>
          <w:top w:val="nil"/>
          <w:left w:val="nil"/>
          <w:bottom w:val="nil"/>
          <w:right w:val="nil"/>
          <w:between w:val="nil"/>
        </w:pBdr>
        <w:rPr>
          <w:rFonts w:eastAsia="Times New Roman"/>
          <w:color w:val="000000"/>
          <w:szCs w:val="24"/>
        </w:rPr>
      </w:pPr>
      <w:r w:rsidRPr="002055BC">
        <w:rPr>
          <w:color w:val="000000"/>
          <w:szCs w:val="24"/>
        </w:rPr>
        <w:t>OB UPOŠTEVANJU NASLEDNJEGA:</w:t>
      </w:r>
    </w:p>
    <w:p w:rsidR="006A63B4" w:rsidRPr="002055BC" w:rsidRDefault="006A63B4" w:rsidP="00665DDB">
      <w:pPr>
        <w:pStyle w:val="Point123"/>
        <w:numPr>
          <w:ilvl w:val="0"/>
          <w:numId w:val="1"/>
        </w:numPr>
      </w:pPr>
      <w:r w:rsidRPr="002055BC">
        <w:t>Prvo poročilo Komisije o izvajanju strategije EU za mlade (2019–2021) (v nadaljnjem besedilu: poročilo) skupaj s priloženimi delovnimi dokumenti služb Komisije vsebuje prvi triletni delovni načrt EU za mlade v okviru sedanje strategije EU za mlade, ki zajema dve trojki predsedstev Sveta (RO-FI-HR in DE-PT-SI).</w:t>
      </w:r>
    </w:p>
    <w:p w:rsidR="006A63B4" w:rsidRPr="002055BC" w:rsidRDefault="006A63B4" w:rsidP="00665DDB">
      <w:pPr>
        <w:pStyle w:val="Point123"/>
        <w:numPr>
          <w:ilvl w:val="0"/>
          <w:numId w:val="1"/>
        </w:numPr>
      </w:pPr>
      <w:r w:rsidRPr="002055BC">
        <w:t>Poročilo med drugim temelji na informacijah, ki so jih zagotovile države članice, Evropska komisija in spletna platforma Youth Wiki in zagotavljajo celovit pregled nacionalnih mladinskih politik v 32 evropskih državah.</w:t>
      </w:r>
    </w:p>
    <w:p w:rsidR="006A63B4" w:rsidRPr="002055BC" w:rsidRDefault="006A63B4" w:rsidP="00665DDB">
      <w:pPr>
        <w:pStyle w:val="Point123"/>
        <w:numPr>
          <w:ilvl w:val="0"/>
          <w:numId w:val="1"/>
        </w:numPr>
      </w:pPr>
      <w:r w:rsidRPr="002055BC">
        <w:t>Za predstavitev splošnega položaja mladih v EU so bili uporabljeni kazalniki EU za mlade z revidiranim prikazom stanja ter novimi kvantitativnimi in kvalitativnimi kazalniki politike.</w:t>
      </w:r>
    </w:p>
    <w:p w:rsidR="006A63B4" w:rsidRPr="002055BC" w:rsidRDefault="006A63B4" w:rsidP="00665DDB">
      <w:pPr>
        <w:pStyle w:val="Point123"/>
        <w:numPr>
          <w:ilvl w:val="0"/>
          <w:numId w:val="1"/>
        </w:numPr>
      </w:pPr>
      <w:r w:rsidRPr="002055BC">
        <w:t>Planerji prihodnjih nacionalnih dejavnosti so bili dodaten vir informacij o nacionalnih mladinskih politikah, kamor sodita tudi izvajanje evropskih ciljev mladih in dejstvo, da je potrebno sodelovanje v skladu s strategijo EU za mlade –</w:t>
      </w:r>
    </w:p>
    <w:p w:rsidR="006A63B4" w:rsidRPr="002055BC" w:rsidRDefault="006A63B4" w:rsidP="00665DDB">
      <w:pPr>
        <w:pBdr>
          <w:top w:val="nil"/>
          <w:left w:val="nil"/>
          <w:bottom w:val="nil"/>
          <w:right w:val="nil"/>
          <w:between w:val="nil"/>
        </w:pBdr>
        <w:rPr>
          <w:rFonts w:eastAsia="Times New Roman"/>
          <w:color w:val="000000"/>
          <w:szCs w:val="24"/>
        </w:rPr>
      </w:pPr>
      <w:r w:rsidRPr="002055BC">
        <w:br w:type="page"/>
      </w:r>
      <w:r w:rsidRPr="002055BC">
        <w:rPr>
          <w:color w:val="000000"/>
          <w:szCs w:val="24"/>
        </w:rPr>
        <w:lastRenderedPageBreak/>
        <w:t>POZDRAVLJAJO:</w:t>
      </w:r>
    </w:p>
    <w:p w:rsidR="006A63B4" w:rsidRPr="002055BC" w:rsidRDefault="006A63B4" w:rsidP="00665DDB">
      <w:pPr>
        <w:pStyle w:val="Point123"/>
        <w:numPr>
          <w:ilvl w:val="0"/>
          <w:numId w:val="1"/>
        </w:numPr>
      </w:pPr>
      <w:r w:rsidRPr="002055BC">
        <w:t>Poročilo, v katerem je skupaj s priloženimi delovnimi dokumenti služb Komisije ocenjen napredek pri doseganju ciljev in izvajanju prednostnih nalog strategije EU za mlade 2019–2021 ter zajema prvi triletni delovni načrt EU za mladino v okviru sedanje strategije EU za mlade, vključno s predstavitvijo celovite slike položaja mladih v EU.</w:t>
      </w:r>
    </w:p>
    <w:p w:rsidR="006A63B4" w:rsidRPr="002055BC" w:rsidRDefault="006A63B4" w:rsidP="00665DDB">
      <w:pPr>
        <w:pBdr>
          <w:top w:val="nil"/>
          <w:left w:val="nil"/>
          <w:bottom w:val="nil"/>
          <w:right w:val="nil"/>
          <w:between w:val="nil"/>
        </w:pBdr>
        <w:rPr>
          <w:rFonts w:eastAsia="Times New Roman"/>
          <w:color w:val="000000"/>
          <w:szCs w:val="24"/>
        </w:rPr>
      </w:pPr>
      <w:r w:rsidRPr="002055BC">
        <w:rPr>
          <w:color w:val="000000"/>
          <w:szCs w:val="24"/>
        </w:rPr>
        <w:t>POUDARJAJO NASLEDNJE:</w:t>
      </w:r>
    </w:p>
    <w:p w:rsidR="006A63B4" w:rsidRPr="002055BC" w:rsidRDefault="006A63B4" w:rsidP="00665DDB">
      <w:pPr>
        <w:pStyle w:val="Point123"/>
        <w:numPr>
          <w:ilvl w:val="0"/>
          <w:numId w:val="1"/>
        </w:numPr>
      </w:pPr>
      <w:r w:rsidRPr="002055BC">
        <w:t>Leti 2020 in 2021 sta netipični, saj je pandemija močno vplivala na izvajanje mladinskih politik, predvsem projektov mobilnosti mladih. Odpravljanje posledic pandemije za otroke in mlade je zato vse od njenega izbruha ena od glavnih točk agende Evropske komisije in držav članic. V preteklem letu so bili programi, kot sta Erasmus+ in evropska solidarnostna enota, prilagojeni, da bi se z alternativnimi rešitvami, predvsem digitalnimi, odzvali na te prekinitve njihovih dejavnosti.</w:t>
      </w:r>
    </w:p>
    <w:p w:rsidR="006A63B4" w:rsidRPr="002055BC" w:rsidRDefault="006A63B4" w:rsidP="00665DDB">
      <w:pPr>
        <w:pStyle w:val="Point123"/>
        <w:numPr>
          <w:ilvl w:val="0"/>
          <w:numId w:val="1"/>
        </w:numPr>
      </w:pPr>
      <w:r w:rsidRPr="002055BC">
        <w:t>Pandemija je v letih 2020 in 2021 močno prizadela izvajanje strategije EU za mlade. Nekatere ukrepe, vključene v delovni načrt EU za mladino 2019–2021, je bilo treba spremeniti, prestaviti ali celo preklicati. Čeprav bi se mladinski sektor lahko zanašal na instrumente, razvite v zadnjih letih, se je zaradi posledic pandemije povečala nujnost prilagajanja na nepredvidene okoliščine, izboljševanja takšnih orodij in krepitve obstoječega sodelovanja. Pandemija je močno ovirala projekte mobilnosti mladih.</w:t>
      </w:r>
    </w:p>
    <w:p w:rsidR="006A63B4" w:rsidRPr="002055BC" w:rsidRDefault="006A63B4" w:rsidP="00665DDB">
      <w:pPr>
        <w:pStyle w:val="Point123"/>
        <w:numPr>
          <w:ilvl w:val="0"/>
          <w:numId w:val="1"/>
        </w:numPr>
      </w:pPr>
      <w:r w:rsidRPr="002055BC">
        <w:rPr>
          <w:color w:val="000000"/>
        </w:rPr>
        <w:t>Zdi se, da je EU vir navdiha za druge regije sveta pri razvoju politik, programov in pobud za mlade, posebej v naši soseščini.</w:t>
      </w:r>
    </w:p>
    <w:p w:rsidR="006A63B4" w:rsidRPr="002055BC" w:rsidRDefault="006A63B4" w:rsidP="006A63B4">
      <w:r w:rsidRPr="002055BC">
        <w:br w:type="page"/>
        <w:t>PRIZNAVAJO NASLEDNJE:</w:t>
      </w:r>
    </w:p>
    <w:p w:rsidR="006A63B4" w:rsidRPr="002055BC" w:rsidRDefault="006A63B4" w:rsidP="00665DDB">
      <w:pPr>
        <w:pStyle w:val="Point123"/>
        <w:numPr>
          <w:ilvl w:val="0"/>
          <w:numId w:val="1"/>
        </w:numPr>
      </w:pPr>
      <w:r w:rsidRPr="002055BC">
        <w:t>Zagotavljanje, da imajo vsi mladi Evropejci enak dostop do priložnosti in da se jim zagotovi potrebna podpora za življenje, delo, učenje in napredek, ostaja v središču mladinskega sodelovanja in politik EU. Strategija EU za mlade 2019–2027 in njen evropski cilj mladih sta del odločnega in učinkovitega načrta, ki spodbuja sodelovanje med državami članicami EU in podpira mladinske politike tako na ravni EU kot na nacionalni ravni, zato sta ključnega pomena za doseganje teh ciljev</w:t>
      </w:r>
      <w:sdt>
        <w:sdtPr>
          <w:tag w:val="goog_rdk_13"/>
          <w:id w:val="-822357415"/>
        </w:sdtPr>
        <w:sdtEndPr/>
        <w:sdtContent>
          <w:r w:rsidRPr="002055BC">
            <w:t>.</w:t>
          </w:r>
        </w:sdtContent>
      </w:sdt>
    </w:p>
    <w:p w:rsidR="006A63B4" w:rsidRPr="002055BC" w:rsidRDefault="006A63B4" w:rsidP="00665DDB">
      <w:pPr>
        <w:pStyle w:val="Point123"/>
        <w:numPr>
          <w:ilvl w:val="0"/>
          <w:numId w:val="1"/>
        </w:numPr>
      </w:pPr>
      <w:r w:rsidRPr="002055BC">
        <w:t>Vzpostavitev tega trdnega političnega okvira, ki omogoča izmenjavo znanja in vzajemno učenje med državami članicami ter usmerjanje financiranja iz programa Erasmus+, evropske solidarnostne enote in drugih programov EU v tri strateške stebre „angažiranje, vključevanje in opolnomočenje“ bo številnim mladim v Evropi omogočila, da v celoti izkoristijo svoj potencial, za svoj osebni razvoj in prehod v samostojnost, okrepijo svojo odpornost in pridobijo znanja in spretnosti, potrebne za soočanje s spreminjajočim se svetom, ter se tako pripravijo na zeleni in digitalni prehod ter oblikujejo svetlejšo in pravičnejšo p</w:t>
      </w:r>
      <w:sdt>
        <w:sdtPr>
          <w:tag w:val="goog_rdk_14"/>
          <w:id w:val="-953638534"/>
        </w:sdtPr>
        <w:sdtEndPr/>
        <w:sdtContent/>
      </w:sdt>
      <w:r w:rsidRPr="002055BC">
        <w:t>rihodnost.</w:t>
      </w:r>
    </w:p>
    <w:p w:rsidR="006A63B4" w:rsidRPr="002055BC" w:rsidRDefault="006A63B4" w:rsidP="006A63B4">
      <w:r w:rsidRPr="002055BC">
        <w:t>POZIVAJO DRŽAVE ČLANICE IN KOMISIJO, NAJ V SKLADU Z NAČELOM SUBSIDIARNOSTI IN V OKVIRU SVOJIH PRISTOJNOSTI:</w:t>
      </w:r>
    </w:p>
    <w:p w:rsidR="006A63B4" w:rsidRPr="002055BC" w:rsidRDefault="006A63B4" w:rsidP="00665DDB">
      <w:pPr>
        <w:pStyle w:val="Point123"/>
        <w:numPr>
          <w:ilvl w:val="0"/>
          <w:numId w:val="1"/>
        </w:numPr>
      </w:pPr>
      <w:r w:rsidRPr="002055BC">
        <w:t>V svoje delo še naprej vključujejo vprašanja, povezana z mladimi, zagotavljajo, da so problemi mladih vidnejši in da se v večji meri upoštevajo pri oblikovanju politik na ravni EU in nacionalni ravni, ter si prizadevajo za večje sinergije in izmenjavo znanja med različnimi področji politik na vseh ravneh, ki vplivajo na mlade.</w:t>
      </w:r>
    </w:p>
    <w:p w:rsidR="006A63B4" w:rsidRPr="002055BC" w:rsidRDefault="006A63B4" w:rsidP="00665DDB">
      <w:pPr>
        <w:pStyle w:val="Point123"/>
        <w:numPr>
          <w:ilvl w:val="0"/>
          <w:numId w:val="1"/>
        </w:numPr>
      </w:pPr>
      <w:r w:rsidRPr="002055BC">
        <w:br w:type="page"/>
        <w:t>Nadalje izboljšajo dejavnosti doseganja mladih iz različnih okolij, predvsem mladih z manj priložnostmi, mladih invalidov in mladih s podeželskih in oddaljenih območij, ter povečajo participacijo mladih, ki ne spadajo v tradicionalne modele zastopanosti mladih.</w:t>
      </w:r>
    </w:p>
    <w:p w:rsidR="006A63B4" w:rsidRPr="002055BC" w:rsidRDefault="006A63B4" w:rsidP="00665DDB">
      <w:pPr>
        <w:pStyle w:val="Point123"/>
        <w:numPr>
          <w:ilvl w:val="0"/>
          <w:numId w:val="1"/>
        </w:numPr>
      </w:pPr>
      <w:r w:rsidRPr="002055BC">
        <w:t xml:space="preserve">Dodatno okrepijo participativne procese mladih ter uvedejo izvajanje </w:t>
      </w:r>
      <w:sdt>
        <w:sdtPr>
          <w:tag w:val="goog_rdk_16"/>
          <w:id w:val="-816802006"/>
        </w:sdtPr>
        <w:sdtEndPr/>
        <w:sdtContent/>
      </w:sdt>
      <w:r w:rsidRPr="002055BC">
        <w:t>evropske agende za mladinsko delo in strateškega načrta EU za mlade za obdobje 2022–2024, vključno z mladinskim dialogom EU.</w:t>
      </w:r>
    </w:p>
    <w:p w:rsidR="006A63B4" w:rsidRPr="002055BC" w:rsidRDefault="006A63B4" w:rsidP="00665DDB">
      <w:pPr>
        <w:pStyle w:val="Point123"/>
        <w:numPr>
          <w:ilvl w:val="0"/>
          <w:numId w:val="1"/>
        </w:numPr>
      </w:pPr>
      <w:r w:rsidRPr="002055BC">
        <w:rPr>
          <w:color w:val="000000"/>
        </w:rPr>
        <w:t>Še naprej podpirajo procese in pobude, ki temeljijo na mladinskem dialogu EU zunaj Evropske unije, na primer v okviru vzhodnega partnerstva ali na Zahodnem Balkanu, da bi pritegnili, povezali in opolnomočili mlade.</w:t>
      </w:r>
    </w:p>
    <w:p w:rsidR="006A63B4" w:rsidRPr="002055BC" w:rsidRDefault="006A63B4" w:rsidP="00665DDB">
      <w:pPr>
        <w:pStyle w:val="Point123"/>
        <w:numPr>
          <w:ilvl w:val="0"/>
          <w:numId w:val="1"/>
        </w:numPr>
      </w:pPr>
      <w:r w:rsidRPr="002055BC">
        <w:t>Omogočijo učinkovito uporabo programov in skladov EU, kot so Erasmus+, evropska solidarnostna enota, program Obzorje Evropa, Evropski socialni sklad plus, pobuda za zaposlovanje mladih, instrument za okrevanje in odpornost, Sklad za pravični prehod itd., za podporo številnih področij politike, ki vplivajo na mlade, s poudarkom na odpornosti in okrevanju mladih in mladinskega sektorja v obdobju po pandemiji COVID-19.</w:t>
      </w:r>
    </w:p>
    <w:p w:rsidR="006A63B4" w:rsidRPr="002055BC" w:rsidRDefault="006A63B4" w:rsidP="00665DDB">
      <w:pPr>
        <w:pStyle w:val="Point123"/>
        <w:numPr>
          <w:ilvl w:val="0"/>
          <w:numId w:val="1"/>
        </w:numPr>
      </w:pPr>
      <w:r w:rsidRPr="002055BC">
        <w:rPr>
          <w:color w:val="000000"/>
          <w:szCs w:val="24"/>
        </w:rPr>
        <w:t>Učinkovito in trajnostno izvajajo evropsko leto mladih 2022, da bi mlade v Evropi še dodatno spodbudili k predložitvi prispevkov in izmenjavi spoznanj, ki bi lahko prispevali k razvoju Unije in družbi na splošno.</w:t>
      </w:r>
    </w:p>
    <w:p w:rsidR="006A63B4" w:rsidRPr="002055BC" w:rsidRDefault="006A63B4" w:rsidP="00665DDB">
      <w:pPr>
        <w:pStyle w:val="Point123"/>
        <w:numPr>
          <w:ilvl w:val="0"/>
          <w:numId w:val="1"/>
        </w:numPr>
      </w:pPr>
      <w:r w:rsidRPr="002055BC">
        <w:rPr>
          <w:color w:val="000000"/>
          <w:szCs w:val="24"/>
        </w:rPr>
        <w:t>Okrepijo prizadevanja za vključevanje mladih v ključne evropske pobude, kot sta Konferenca o prihodnosti Evrope in pobuda novi evropski Bauhaus, ki obravnavajo vprašanja, pomembna za mlade in njihovo prihodnost.</w:t>
      </w:r>
    </w:p>
    <w:p w:rsidR="00FC75F2" w:rsidRPr="000374E4" w:rsidRDefault="00FC75F2" w:rsidP="009D429B">
      <w:pPr>
        <w:pStyle w:val="FinalLine"/>
        <w:spacing w:before="240"/>
        <w:ind w:left="3402" w:right="3402"/>
      </w:pPr>
    </w:p>
    <w:sectPr w:rsidR="00FC75F2" w:rsidRPr="000374E4" w:rsidSect="005C76CA">
      <w:headerReference w:type="default" r:id="rId15"/>
      <w:footerReference w:type="default" r:id="rId16"/>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213" w:rsidRDefault="00BF1213" w:rsidP="001B675E">
      <w:pPr>
        <w:spacing w:before="0" w:after="0" w:line="240" w:lineRule="auto"/>
      </w:pPr>
      <w:r>
        <w:separator/>
      </w:r>
    </w:p>
  </w:endnote>
  <w:endnote w:type="continuationSeparator" w:id="0">
    <w:p w:rsidR="00BF1213" w:rsidRDefault="00BF1213" w:rsidP="001B675E">
      <w:pPr>
        <w:spacing w:before="0" w:after="0" w:line="240" w:lineRule="auto"/>
      </w:pPr>
      <w:r>
        <w:continuationSeparator/>
      </w:r>
    </w:p>
  </w:endnote>
  <w:endnote w:type="continuationNotice" w:id="1">
    <w:p w:rsidR="00BF1213" w:rsidRDefault="00BF121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5BC" w:rsidRPr="005C76CA" w:rsidRDefault="002055BC" w:rsidP="005C7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5C76CA" w:rsidRPr="00D94637" w:rsidTr="005C76CA">
      <w:trPr>
        <w:jc w:val="center"/>
      </w:trPr>
      <w:tc>
        <w:tcPr>
          <w:tcW w:w="5000" w:type="pct"/>
          <w:gridSpan w:val="7"/>
          <w:shd w:val="clear" w:color="auto" w:fill="auto"/>
          <w:tcMar>
            <w:top w:w="57" w:type="dxa"/>
          </w:tcMar>
        </w:tcPr>
        <w:p w:rsidR="005C76CA" w:rsidRPr="00D94637" w:rsidRDefault="005C76CA" w:rsidP="00D94637">
          <w:pPr>
            <w:pStyle w:val="FooterText"/>
            <w:pBdr>
              <w:top w:val="single" w:sz="4" w:space="1" w:color="auto"/>
            </w:pBdr>
            <w:spacing w:before="200"/>
            <w:rPr>
              <w:sz w:val="2"/>
              <w:szCs w:val="2"/>
            </w:rPr>
          </w:pPr>
          <w:bookmarkStart w:id="2" w:name="FOOTER_STANDARD"/>
        </w:p>
      </w:tc>
    </w:tr>
    <w:tr w:rsidR="005C76CA" w:rsidRPr="00B310DC" w:rsidTr="005C76CA">
      <w:trPr>
        <w:jc w:val="center"/>
      </w:trPr>
      <w:tc>
        <w:tcPr>
          <w:tcW w:w="2500" w:type="pct"/>
          <w:gridSpan w:val="2"/>
          <w:shd w:val="clear" w:color="auto" w:fill="auto"/>
          <w:tcMar>
            <w:top w:w="0" w:type="dxa"/>
          </w:tcMar>
        </w:tcPr>
        <w:p w:rsidR="005C76CA" w:rsidRPr="00AD7BF2" w:rsidRDefault="005C76CA" w:rsidP="004F54B2">
          <w:pPr>
            <w:pStyle w:val="FooterText"/>
          </w:pPr>
          <w:r>
            <w:t>13692/21</w:t>
          </w:r>
          <w:r w:rsidRPr="002511D8">
            <w:t xml:space="preserve"> </w:t>
          </w:r>
        </w:p>
      </w:tc>
      <w:tc>
        <w:tcPr>
          <w:tcW w:w="625" w:type="pct"/>
          <w:shd w:val="clear" w:color="auto" w:fill="auto"/>
          <w:tcMar>
            <w:top w:w="0" w:type="dxa"/>
          </w:tcMar>
        </w:tcPr>
        <w:p w:rsidR="005C76CA" w:rsidRPr="00AD7BF2" w:rsidRDefault="005C76CA" w:rsidP="00D94637">
          <w:pPr>
            <w:pStyle w:val="FooterText"/>
            <w:jc w:val="center"/>
          </w:pPr>
        </w:p>
      </w:tc>
      <w:tc>
        <w:tcPr>
          <w:tcW w:w="1286" w:type="pct"/>
          <w:gridSpan w:val="3"/>
          <w:shd w:val="clear" w:color="auto" w:fill="auto"/>
          <w:tcMar>
            <w:top w:w="0" w:type="dxa"/>
          </w:tcMar>
        </w:tcPr>
        <w:p w:rsidR="005C76CA" w:rsidRPr="002511D8" w:rsidRDefault="005C76CA" w:rsidP="00D94637">
          <w:pPr>
            <w:pStyle w:val="FooterText"/>
            <w:jc w:val="center"/>
          </w:pPr>
          <w:r>
            <w:t>bj</w:t>
          </w:r>
        </w:p>
      </w:tc>
      <w:tc>
        <w:tcPr>
          <w:tcW w:w="589" w:type="pct"/>
          <w:shd w:val="clear" w:color="auto" w:fill="auto"/>
          <w:tcMar>
            <w:top w:w="0" w:type="dxa"/>
          </w:tcMar>
        </w:tcPr>
        <w:p w:rsidR="005C76CA" w:rsidRPr="00B310DC" w:rsidRDefault="005C76CA" w:rsidP="005C76CA">
          <w:pPr>
            <w:pStyle w:val="FooterText"/>
            <w:jc w:val="right"/>
          </w:pPr>
          <w:r>
            <w:fldChar w:fldCharType="begin"/>
          </w:r>
          <w:r>
            <w:instrText xml:space="preserve"> PAGE  \* MERGEFORMAT </w:instrText>
          </w:r>
          <w:r>
            <w:fldChar w:fldCharType="separate"/>
          </w:r>
          <w:r w:rsidR="00CC554D">
            <w:rPr>
              <w:noProof/>
            </w:rPr>
            <w:t>1</w:t>
          </w:r>
          <w:r>
            <w:fldChar w:fldCharType="end"/>
          </w:r>
        </w:p>
      </w:tc>
    </w:tr>
    <w:tr w:rsidR="005C76CA" w:rsidRPr="00D94637" w:rsidTr="005C76CA">
      <w:trPr>
        <w:jc w:val="center"/>
      </w:trPr>
      <w:tc>
        <w:tcPr>
          <w:tcW w:w="1774" w:type="pct"/>
          <w:shd w:val="clear" w:color="auto" w:fill="auto"/>
        </w:tcPr>
        <w:p w:rsidR="005C76CA" w:rsidRPr="00AD7BF2" w:rsidRDefault="005C76CA" w:rsidP="00D94637">
          <w:pPr>
            <w:pStyle w:val="FooterText"/>
            <w:spacing w:before="40"/>
          </w:pPr>
        </w:p>
      </w:tc>
      <w:tc>
        <w:tcPr>
          <w:tcW w:w="1455" w:type="pct"/>
          <w:gridSpan w:val="3"/>
          <w:shd w:val="clear" w:color="auto" w:fill="auto"/>
        </w:tcPr>
        <w:p w:rsidR="005C76CA" w:rsidRPr="00AD7BF2" w:rsidRDefault="005C76CA" w:rsidP="00D204D6">
          <w:pPr>
            <w:pStyle w:val="FooterText"/>
            <w:spacing w:before="40"/>
            <w:jc w:val="center"/>
          </w:pPr>
          <w:r>
            <w:t>TREE.1.B</w:t>
          </w:r>
        </w:p>
      </w:tc>
      <w:tc>
        <w:tcPr>
          <w:tcW w:w="742" w:type="pct"/>
          <w:shd w:val="clear" w:color="auto" w:fill="auto"/>
        </w:tcPr>
        <w:p w:rsidR="005C76CA" w:rsidRPr="00D94637" w:rsidRDefault="005C76CA" w:rsidP="002F0099">
          <w:pPr>
            <w:pStyle w:val="FooterText"/>
            <w:jc w:val="center"/>
            <w:rPr>
              <w:b/>
              <w:position w:val="-4"/>
              <w:sz w:val="36"/>
            </w:rPr>
          </w:pPr>
          <w:r>
            <w:rPr>
              <w:b/>
              <w:position w:val="-4"/>
              <w:sz w:val="36"/>
            </w:rPr>
            <w:t>LIMITE</w:t>
          </w:r>
        </w:p>
      </w:tc>
      <w:tc>
        <w:tcPr>
          <w:tcW w:w="1029" w:type="pct"/>
          <w:gridSpan w:val="2"/>
          <w:shd w:val="clear" w:color="auto" w:fill="auto"/>
        </w:tcPr>
        <w:p w:rsidR="005C76CA" w:rsidRPr="000310C2" w:rsidRDefault="005C76CA" w:rsidP="00D94637">
          <w:pPr>
            <w:pStyle w:val="FooterText"/>
            <w:jc w:val="right"/>
            <w:rPr>
              <w:spacing w:val="-20"/>
              <w:sz w:val="16"/>
            </w:rPr>
          </w:pPr>
          <w:r>
            <w:rPr>
              <w:b/>
              <w:spacing w:val="-20"/>
              <w:position w:val="-4"/>
              <w:sz w:val="36"/>
            </w:rPr>
            <w:t>SL</w:t>
          </w:r>
        </w:p>
      </w:tc>
    </w:tr>
    <w:bookmarkEnd w:id="2"/>
  </w:tbl>
  <w:p w:rsidR="00A27548" w:rsidRPr="005C76CA" w:rsidRDefault="00A27548" w:rsidP="005C76CA">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5C76CA" w:rsidRPr="00D94637" w:rsidTr="005C76CA">
      <w:trPr>
        <w:jc w:val="center"/>
      </w:trPr>
      <w:tc>
        <w:tcPr>
          <w:tcW w:w="5000" w:type="pct"/>
          <w:gridSpan w:val="7"/>
          <w:shd w:val="clear" w:color="auto" w:fill="auto"/>
          <w:tcMar>
            <w:top w:w="57" w:type="dxa"/>
          </w:tcMar>
        </w:tcPr>
        <w:p w:rsidR="005C76CA" w:rsidRPr="00D94637" w:rsidRDefault="005C76CA" w:rsidP="00D94637">
          <w:pPr>
            <w:pStyle w:val="FooterText"/>
            <w:pBdr>
              <w:top w:val="single" w:sz="4" w:space="1" w:color="auto"/>
            </w:pBdr>
            <w:spacing w:before="200"/>
            <w:rPr>
              <w:sz w:val="2"/>
              <w:szCs w:val="2"/>
            </w:rPr>
          </w:pPr>
        </w:p>
      </w:tc>
    </w:tr>
    <w:tr w:rsidR="005C76CA" w:rsidRPr="00B310DC" w:rsidTr="005C76CA">
      <w:trPr>
        <w:jc w:val="center"/>
      </w:trPr>
      <w:tc>
        <w:tcPr>
          <w:tcW w:w="2500" w:type="pct"/>
          <w:gridSpan w:val="2"/>
          <w:shd w:val="clear" w:color="auto" w:fill="auto"/>
          <w:tcMar>
            <w:top w:w="0" w:type="dxa"/>
          </w:tcMar>
        </w:tcPr>
        <w:p w:rsidR="005C76CA" w:rsidRPr="00AD7BF2" w:rsidRDefault="005C76CA" w:rsidP="004F54B2">
          <w:pPr>
            <w:pStyle w:val="FooterText"/>
          </w:pPr>
          <w:r>
            <w:t>13692/21</w:t>
          </w:r>
          <w:r w:rsidRPr="002511D8">
            <w:t xml:space="preserve"> </w:t>
          </w:r>
        </w:p>
      </w:tc>
      <w:tc>
        <w:tcPr>
          <w:tcW w:w="625" w:type="pct"/>
          <w:shd w:val="clear" w:color="auto" w:fill="auto"/>
          <w:tcMar>
            <w:top w:w="0" w:type="dxa"/>
          </w:tcMar>
        </w:tcPr>
        <w:p w:rsidR="005C76CA" w:rsidRPr="00AD7BF2" w:rsidRDefault="005C76CA" w:rsidP="00D94637">
          <w:pPr>
            <w:pStyle w:val="FooterText"/>
            <w:jc w:val="center"/>
          </w:pPr>
        </w:p>
      </w:tc>
      <w:tc>
        <w:tcPr>
          <w:tcW w:w="1286" w:type="pct"/>
          <w:gridSpan w:val="3"/>
          <w:shd w:val="clear" w:color="auto" w:fill="auto"/>
          <w:tcMar>
            <w:top w:w="0" w:type="dxa"/>
          </w:tcMar>
        </w:tcPr>
        <w:p w:rsidR="005C76CA" w:rsidRPr="002511D8" w:rsidRDefault="005C76CA" w:rsidP="00D94637">
          <w:pPr>
            <w:pStyle w:val="FooterText"/>
            <w:jc w:val="center"/>
          </w:pPr>
          <w:r>
            <w:t>bj</w:t>
          </w:r>
        </w:p>
      </w:tc>
      <w:tc>
        <w:tcPr>
          <w:tcW w:w="589" w:type="pct"/>
          <w:shd w:val="clear" w:color="auto" w:fill="auto"/>
          <w:tcMar>
            <w:top w:w="0" w:type="dxa"/>
          </w:tcMar>
        </w:tcPr>
        <w:p w:rsidR="005C76CA" w:rsidRPr="00B310DC" w:rsidRDefault="005C76CA" w:rsidP="005C76CA">
          <w:pPr>
            <w:pStyle w:val="FooterText"/>
            <w:jc w:val="right"/>
          </w:pPr>
          <w:r>
            <w:fldChar w:fldCharType="begin"/>
          </w:r>
          <w:r>
            <w:instrText xml:space="preserve"> PAGE  \* MERGEFORMAT </w:instrText>
          </w:r>
          <w:r>
            <w:fldChar w:fldCharType="separate"/>
          </w:r>
          <w:r w:rsidR="00CC554D">
            <w:rPr>
              <w:noProof/>
            </w:rPr>
            <w:t>1</w:t>
          </w:r>
          <w:r>
            <w:fldChar w:fldCharType="end"/>
          </w:r>
        </w:p>
      </w:tc>
    </w:tr>
    <w:tr w:rsidR="005C76CA" w:rsidRPr="00D94637" w:rsidTr="005C76CA">
      <w:trPr>
        <w:jc w:val="center"/>
      </w:trPr>
      <w:tc>
        <w:tcPr>
          <w:tcW w:w="1774" w:type="pct"/>
          <w:shd w:val="clear" w:color="auto" w:fill="auto"/>
        </w:tcPr>
        <w:p w:rsidR="005C76CA" w:rsidRPr="00AD7BF2" w:rsidRDefault="005C76CA" w:rsidP="00D94637">
          <w:pPr>
            <w:pStyle w:val="FooterText"/>
            <w:spacing w:before="40"/>
          </w:pPr>
        </w:p>
      </w:tc>
      <w:tc>
        <w:tcPr>
          <w:tcW w:w="1455" w:type="pct"/>
          <w:gridSpan w:val="3"/>
          <w:shd w:val="clear" w:color="auto" w:fill="auto"/>
        </w:tcPr>
        <w:p w:rsidR="005C76CA" w:rsidRPr="00AD7BF2" w:rsidRDefault="005C76CA" w:rsidP="00D204D6">
          <w:pPr>
            <w:pStyle w:val="FooterText"/>
            <w:spacing w:before="40"/>
            <w:jc w:val="center"/>
          </w:pPr>
          <w:r>
            <w:t>TREE.1.B</w:t>
          </w:r>
        </w:p>
      </w:tc>
      <w:tc>
        <w:tcPr>
          <w:tcW w:w="742" w:type="pct"/>
          <w:shd w:val="clear" w:color="auto" w:fill="auto"/>
        </w:tcPr>
        <w:p w:rsidR="005C76CA" w:rsidRPr="00D94637" w:rsidRDefault="005C76CA" w:rsidP="002F0099">
          <w:pPr>
            <w:pStyle w:val="FooterText"/>
            <w:jc w:val="center"/>
            <w:rPr>
              <w:b/>
              <w:position w:val="-4"/>
              <w:sz w:val="36"/>
            </w:rPr>
          </w:pPr>
          <w:r>
            <w:rPr>
              <w:b/>
              <w:position w:val="-4"/>
              <w:sz w:val="36"/>
            </w:rPr>
            <w:t>LIMITE</w:t>
          </w:r>
        </w:p>
      </w:tc>
      <w:tc>
        <w:tcPr>
          <w:tcW w:w="1029" w:type="pct"/>
          <w:gridSpan w:val="2"/>
          <w:shd w:val="clear" w:color="auto" w:fill="auto"/>
        </w:tcPr>
        <w:p w:rsidR="005C76CA" w:rsidRPr="000310C2" w:rsidRDefault="005C76CA" w:rsidP="00D94637">
          <w:pPr>
            <w:pStyle w:val="FooterText"/>
            <w:jc w:val="right"/>
            <w:rPr>
              <w:spacing w:val="-20"/>
              <w:sz w:val="16"/>
            </w:rPr>
          </w:pPr>
          <w:r>
            <w:rPr>
              <w:b/>
              <w:spacing w:val="-20"/>
              <w:position w:val="-4"/>
              <w:sz w:val="36"/>
            </w:rPr>
            <w:t>SL</w:t>
          </w:r>
        </w:p>
      </w:tc>
    </w:tr>
  </w:tbl>
  <w:p w:rsidR="00A27548" w:rsidRPr="005C76CA" w:rsidRDefault="00A27548" w:rsidP="005C76CA">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5C76CA" w:rsidRPr="00D94637" w:rsidTr="005C76CA">
      <w:trPr>
        <w:jc w:val="center"/>
      </w:trPr>
      <w:tc>
        <w:tcPr>
          <w:tcW w:w="5000" w:type="pct"/>
          <w:gridSpan w:val="7"/>
          <w:shd w:val="clear" w:color="auto" w:fill="auto"/>
          <w:tcMar>
            <w:top w:w="57" w:type="dxa"/>
          </w:tcMar>
        </w:tcPr>
        <w:p w:rsidR="005C76CA" w:rsidRPr="00D94637" w:rsidRDefault="005C76CA" w:rsidP="00D94637">
          <w:pPr>
            <w:pStyle w:val="FooterText"/>
            <w:pBdr>
              <w:top w:val="single" w:sz="4" w:space="1" w:color="auto"/>
            </w:pBdr>
            <w:spacing w:before="200"/>
            <w:rPr>
              <w:sz w:val="2"/>
              <w:szCs w:val="2"/>
            </w:rPr>
          </w:pPr>
        </w:p>
      </w:tc>
    </w:tr>
    <w:tr w:rsidR="005C76CA" w:rsidRPr="00B310DC" w:rsidTr="005C76CA">
      <w:trPr>
        <w:jc w:val="center"/>
      </w:trPr>
      <w:tc>
        <w:tcPr>
          <w:tcW w:w="2500" w:type="pct"/>
          <w:gridSpan w:val="2"/>
          <w:shd w:val="clear" w:color="auto" w:fill="auto"/>
          <w:tcMar>
            <w:top w:w="0" w:type="dxa"/>
          </w:tcMar>
        </w:tcPr>
        <w:p w:rsidR="005C76CA" w:rsidRPr="00AD7BF2" w:rsidRDefault="005C76CA" w:rsidP="004F54B2">
          <w:pPr>
            <w:pStyle w:val="FooterText"/>
          </w:pPr>
          <w:r>
            <w:t>13692/21</w:t>
          </w:r>
          <w:r w:rsidRPr="002511D8">
            <w:t xml:space="preserve"> </w:t>
          </w:r>
        </w:p>
      </w:tc>
      <w:tc>
        <w:tcPr>
          <w:tcW w:w="625" w:type="pct"/>
          <w:shd w:val="clear" w:color="auto" w:fill="auto"/>
          <w:tcMar>
            <w:top w:w="0" w:type="dxa"/>
          </w:tcMar>
        </w:tcPr>
        <w:p w:rsidR="005C76CA" w:rsidRPr="00AD7BF2" w:rsidRDefault="005C76CA" w:rsidP="00D94637">
          <w:pPr>
            <w:pStyle w:val="FooterText"/>
            <w:jc w:val="center"/>
          </w:pPr>
        </w:p>
      </w:tc>
      <w:tc>
        <w:tcPr>
          <w:tcW w:w="1286" w:type="pct"/>
          <w:gridSpan w:val="3"/>
          <w:shd w:val="clear" w:color="auto" w:fill="auto"/>
          <w:tcMar>
            <w:top w:w="0" w:type="dxa"/>
          </w:tcMar>
        </w:tcPr>
        <w:p w:rsidR="005C76CA" w:rsidRPr="002511D8" w:rsidRDefault="005C76CA" w:rsidP="00D94637">
          <w:pPr>
            <w:pStyle w:val="FooterText"/>
            <w:jc w:val="center"/>
          </w:pPr>
          <w:r>
            <w:t>bj</w:t>
          </w:r>
        </w:p>
      </w:tc>
      <w:tc>
        <w:tcPr>
          <w:tcW w:w="589" w:type="pct"/>
          <w:shd w:val="clear" w:color="auto" w:fill="auto"/>
          <w:tcMar>
            <w:top w:w="0" w:type="dxa"/>
          </w:tcMar>
        </w:tcPr>
        <w:p w:rsidR="005C76CA" w:rsidRPr="00B310DC" w:rsidRDefault="005C76CA" w:rsidP="005C76CA">
          <w:pPr>
            <w:pStyle w:val="FooterText"/>
            <w:jc w:val="right"/>
          </w:pPr>
          <w:r>
            <w:fldChar w:fldCharType="begin"/>
          </w:r>
          <w:r>
            <w:instrText xml:space="preserve"> PAGE  \* MERGEFORMAT </w:instrText>
          </w:r>
          <w:r>
            <w:fldChar w:fldCharType="separate"/>
          </w:r>
          <w:r w:rsidR="00CC554D">
            <w:rPr>
              <w:noProof/>
            </w:rPr>
            <w:t>2</w:t>
          </w:r>
          <w:r>
            <w:fldChar w:fldCharType="end"/>
          </w:r>
        </w:p>
      </w:tc>
    </w:tr>
    <w:tr w:rsidR="005C76CA" w:rsidRPr="00D94637" w:rsidTr="005C76CA">
      <w:trPr>
        <w:jc w:val="center"/>
      </w:trPr>
      <w:tc>
        <w:tcPr>
          <w:tcW w:w="1774" w:type="pct"/>
          <w:shd w:val="clear" w:color="auto" w:fill="auto"/>
        </w:tcPr>
        <w:p w:rsidR="005C76CA" w:rsidRPr="00AD7BF2" w:rsidRDefault="005C76CA" w:rsidP="00D94637">
          <w:pPr>
            <w:pStyle w:val="FooterText"/>
            <w:spacing w:before="40"/>
          </w:pPr>
          <w:r>
            <w:t>PRILOGA</w:t>
          </w:r>
        </w:p>
      </w:tc>
      <w:tc>
        <w:tcPr>
          <w:tcW w:w="1455" w:type="pct"/>
          <w:gridSpan w:val="3"/>
          <w:shd w:val="clear" w:color="auto" w:fill="auto"/>
        </w:tcPr>
        <w:p w:rsidR="005C76CA" w:rsidRPr="00AD7BF2" w:rsidRDefault="005C76CA" w:rsidP="00D204D6">
          <w:pPr>
            <w:pStyle w:val="FooterText"/>
            <w:spacing w:before="40"/>
            <w:jc w:val="center"/>
          </w:pPr>
          <w:r>
            <w:t>TREE.1.B</w:t>
          </w:r>
        </w:p>
      </w:tc>
      <w:tc>
        <w:tcPr>
          <w:tcW w:w="742" w:type="pct"/>
          <w:shd w:val="clear" w:color="auto" w:fill="auto"/>
        </w:tcPr>
        <w:p w:rsidR="005C76CA" w:rsidRPr="00D94637" w:rsidRDefault="005C76CA" w:rsidP="002F0099">
          <w:pPr>
            <w:pStyle w:val="FooterText"/>
            <w:jc w:val="center"/>
            <w:rPr>
              <w:b/>
              <w:position w:val="-4"/>
              <w:sz w:val="36"/>
            </w:rPr>
          </w:pPr>
          <w:r>
            <w:rPr>
              <w:b/>
              <w:position w:val="-4"/>
              <w:sz w:val="36"/>
            </w:rPr>
            <w:t>LIMITE</w:t>
          </w:r>
        </w:p>
      </w:tc>
      <w:tc>
        <w:tcPr>
          <w:tcW w:w="1029" w:type="pct"/>
          <w:gridSpan w:val="2"/>
          <w:shd w:val="clear" w:color="auto" w:fill="auto"/>
        </w:tcPr>
        <w:p w:rsidR="005C76CA" w:rsidRPr="000310C2" w:rsidRDefault="005C76CA" w:rsidP="00D94637">
          <w:pPr>
            <w:pStyle w:val="FooterText"/>
            <w:jc w:val="right"/>
            <w:rPr>
              <w:spacing w:val="-20"/>
              <w:sz w:val="16"/>
            </w:rPr>
          </w:pPr>
          <w:r>
            <w:rPr>
              <w:b/>
              <w:spacing w:val="-20"/>
              <w:position w:val="-4"/>
              <w:sz w:val="36"/>
            </w:rPr>
            <w:t>SL</w:t>
          </w:r>
        </w:p>
      </w:tc>
    </w:tr>
  </w:tbl>
  <w:p w:rsidR="00EE1681" w:rsidRPr="005C76CA" w:rsidRDefault="00EE1681" w:rsidP="005C76CA">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213" w:rsidRDefault="00BF1213" w:rsidP="008D3C9A">
      <w:pPr>
        <w:spacing w:before="0" w:after="0" w:line="240" w:lineRule="auto"/>
      </w:pPr>
      <w:r>
        <w:separator/>
      </w:r>
    </w:p>
  </w:footnote>
  <w:footnote w:type="continuationSeparator" w:id="0">
    <w:p w:rsidR="00BF1213" w:rsidRDefault="00BF1213" w:rsidP="00EC3B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5BC" w:rsidRPr="005C76CA" w:rsidRDefault="002055BC" w:rsidP="005C7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213" w:rsidRPr="005C76CA" w:rsidRDefault="005C76CA" w:rsidP="005C76CA">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213" w:rsidRPr="005C76CA" w:rsidRDefault="005C76CA" w:rsidP="005C76CA">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81" w:rsidRPr="005C76CA" w:rsidRDefault="00EE1681" w:rsidP="005C7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5"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9"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0"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12"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13"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14"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5"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16"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17"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18"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19"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15"/>
  </w:num>
  <w:num w:numId="6">
    <w:abstractNumId w:val="11"/>
  </w:num>
  <w:num w:numId="7">
    <w:abstractNumId w:val="2"/>
  </w:num>
  <w:num w:numId="8">
    <w:abstractNumId w:val="17"/>
  </w:num>
  <w:num w:numId="9">
    <w:abstractNumId w:val="19"/>
  </w:num>
  <w:num w:numId="10">
    <w:abstractNumId w:val="9"/>
  </w:num>
  <w:num w:numId="11">
    <w:abstractNumId w:val="16"/>
  </w:num>
  <w:num w:numId="12">
    <w:abstractNumId w:val="12"/>
  </w:num>
  <w:num w:numId="13">
    <w:abstractNumId w:val="8"/>
  </w:num>
  <w:num w:numId="14">
    <w:abstractNumId w:val="5"/>
  </w:num>
  <w:num w:numId="15">
    <w:abstractNumId w:val="4"/>
  </w:num>
  <w:num w:numId="16">
    <w:abstractNumId w:val="13"/>
  </w:num>
  <w:num w:numId="17">
    <w:abstractNumId w:val="18"/>
  </w:num>
  <w:num w:numId="18">
    <w:abstractNumId w:val="0"/>
  </w:num>
  <w:num w:numId="19">
    <w:abstractNumId w:val="6"/>
  </w:num>
  <w:num w:numId="20">
    <w:abstractNumId w:val="3"/>
  </w:num>
  <w:num w:numId="21">
    <w:abstractNumId w:val="7"/>
  </w:num>
  <w:num w:numId="22">
    <w:abstractNumId w:val="10"/>
  </w:num>
  <w:num w:numId="23">
    <w:abstractNumId w:val="14"/>
  </w:num>
  <w:num w:numId="24">
    <w:abstractNumId w:val="1"/>
  </w:num>
  <w:num w:numId="25">
    <w:abstractNumId w:val="15"/>
  </w:num>
  <w:num w:numId="26">
    <w:abstractNumId w:val="11"/>
  </w:num>
  <w:num w:numId="27">
    <w:abstractNumId w:val="2"/>
  </w:num>
  <w:num w:numId="28">
    <w:abstractNumId w:val="17"/>
  </w:num>
  <w:num w:numId="29">
    <w:abstractNumId w:val="19"/>
  </w:num>
  <w:num w:numId="30">
    <w:abstractNumId w:val="9"/>
  </w:num>
  <w:num w:numId="31">
    <w:abstractNumId w:val="16"/>
  </w:num>
  <w:num w:numId="32">
    <w:abstractNumId w:val="12"/>
  </w:num>
  <w:num w:numId="33">
    <w:abstractNumId w:val="8"/>
  </w:num>
  <w:num w:numId="34">
    <w:abstractNumId w:val="5"/>
  </w:num>
  <w:num w:numId="35">
    <w:abstractNumId w:val="4"/>
  </w:num>
  <w:num w:numId="36">
    <w:abstractNumId w:val="13"/>
  </w:num>
  <w:num w:numId="37">
    <w:abstractNumId w:val="18"/>
  </w:num>
  <w:num w:numId="38">
    <w:abstractNumId w:val="0"/>
  </w:num>
  <w:num w:numId="39">
    <w:abstractNumId w:val="6"/>
  </w:num>
  <w:num w:numId="40">
    <w:abstractNumId w:val="3"/>
  </w:num>
  <w:num w:numId="41">
    <w:abstractNumId w:val="7"/>
  </w:num>
  <w:num w:numId="4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attachedTemplate r:id="rId1"/>
  <w:doNotTrackFormatting/>
  <w:defaultTabStop w:val="567"/>
  <w:hyphenationZone w:val="425"/>
  <w:characterSpacingControl w:val="doNotCompress"/>
  <w:hdrShapeDefaults>
    <o:shapedefaults v:ext="edit" spidmax="83969"/>
  </w:hdrShapeDefaults>
  <w:footnotePr>
    <w:footnote w:id="-1"/>
    <w:footnote w:id="0"/>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DocuWrite\Copylist"/>
    <w:docVar w:name="Council" w:val="true"/>
    <w:docVar w:name="DocuWriteMetaData" w:val="&lt;metadataset docuwriteversion=&quot;4.5.2&quot; technicalblockguid=&quot;4917333366486920526&quot;&gt;_x000d__x000a_  &lt;metadata key=&quot;md_DocumentLanguages&quot; translate=&quot;false&quot;&gt;_x000d__x000a_    &lt;basicdatatypelist&gt;_x000d__x000a_      &lt;language key=&quot;SL&quot; text=&quot;SL&quot; /&gt;_x000d__x000a_    &lt;/basicdatatypelist&gt;_x000d__x000a_  &lt;/metadata&gt;_x000d__x000a_  &lt;metadata key=&quot;md_OriginalLanguages&quot; translate=&quot;false&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DOPIS&quot; /&gt;_x000d__x000a_    &lt;/basicdatatype&gt;_x000d__x000a_  &lt;/metadata&gt;_x000d__x000a_  &lt;metadata key=&quot;md_HeadingText&quot; translate=&quot;false&quot;&gt;_x000d__x000a_    &lt;headingtext text=&quot;DOPIS&quot;&gt;_x000d__x000a_      &lt;formattedtext&gt;_x000d__x000a_        &lt;xaml text=&quot;DOPIS&quot;&gt;&amp;lt;FlowDocument xmlns=&quot;http://schemas.microsoft.com/winfx/2006/xaml/presentation&quot;&amp;gt;&amp;lt;Paragraph&amp;gt;DOPIS&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7&quot; text=&quot;Note&quot; /&gt;_x000d__x000a_    &lt;/basicdatatype&gt;_x000d__x000a_  &lt;/metadata&gt;_x000d__x000a_  &lt;metadata key=&quot;md_DocumentType&quot; translate=&quot;fals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elj&quot; /&gt;_x000d__x000a_    &lt;/basicdatatype&gt;_x000d__x000a_  &lt;/metadata&gt;_x000d__x000a_  &lt;metadata key=&quot;md_DocumentDate&quot; translate=&quot;false&quot;&gt;_x000d__x000a_    &lt;text&gt;2021-11-12&lt;/text&gt;_x000d__x000a_  &lt;/metadata&gt;_x000d__x000a_  &lt;metadata key=&quot;md_Prefix&quot; translate=&quot;false&quot;&gt;_x000d__x000a_    &lt;text&gt;&lt;/text&gt;_x000d__x000a_  &lt;/metadata&gt;_x000d__x000a_  &lt;metadata key=&quot;md_DocumentNumber&quot; translate=&quot;false&quot;&gt;_x000d__x000a_    &lt;text&gt;13692&lt;/text&gt;_x000d__x000a_  &lt;/metadata&gt;_x000d__x000a_  &lt;metadata key=&quot;md_YearDocumentNumber&quot; translate=&quot;false&quot;&gt;_x000d__x000a_    &lt;text&gt;2021&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dis_02&quot; text=&quot;LIMITE&quot; /&gt;_x000d__x000a_    &lt;/basicdatatype&gt;_x000d__x000a_  &lt;/metadata&gt;_x000d__x000a_  &lt;metadata key=&quot;md_SubjectCodes&quot; translate=&quot;false&quot;&gt;_x000d__x000a_    &lt;textlist&gt;_x000d__x000a_      &lt;text&gt;JEUN 127&lt;/text&gt;_x000d__x000a_      &lt;text&gt;EDUC 369&lt;/text&gt;_x000d__x000a_      &lt;text&gt;SOC 641&lt;/text&gt;_x000d__x000a_      &lt;text&gt;EMPL 480&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 translate=&quot;false&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 translate=&quot;false&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translate=&quot;false&quot;&gt;_x000d__x000a_    &lt;textlist /&gt;_x000d__x000a_  &lt;/metadata&gt;_x000d__x000a_  &lt;metadata key=&quot;md_AdditionalReferences&quot; translate=&quot;false&quot;&gt;_x000d__x000a_    &lt;textlist /&gt;_x000d__x000a_  &lt;/metadata&gt;_x000d__x000a_  &lt;metadata key=&quot;md_LEXNumber&quot; translate=&quot;false&quot;&gt;_x000d__x000a_    &lt;text&gt;&lt;/text&gt;_x000d__x000a_  &lt;/metadata&gt;_x000d__x000a_  &lt;metadata key=&quot;md_SousEmbargo&quot; translate=&quot;false&quot;&gt;_x000d__x000a_    &lt;text&gt;&lt;/text&gt;_x000d__x000a_  &lt;/metadata&gt;_x000d__x000a_  &lt;metadata key=&quot;md_DraftVersion&quot; translate=&quot;false&quot;&gt;_x000d__x000a_    &lt;text&gt;&lt;/text&gt;_x000d__x000a_  &lt;/metadata&gt;_x000d__x000a_  &lt;metadata key=&quot;md_Originator&quot; translate=&quot;false&quot;&gt;_x000d__x000a_    &lt;basicdatatype&gt;_x000d__x000a_      &lt;originator key=&quot;or_09&quot; text=&quot;Generalni sekretariat Sveta&quot; /&gt;_x000d__x000a_    &lt;/basicdatatype&gt;_x000d__x000a_  &lt;/metadata&gt;_x000d__x000a_  &lt;metadata key=&quot;md_Recipient&quot; translate=&quot;false&quot;&gt;_x000d__x000a_    &lt;basicdatatype&gt;_x000d__x000a_      &lt;recipient key=&quot;re_05&quot; text=&quot;Odbor stalnih predstavnikov/Svet&quot; /&gt;_x000d__x000a_    &lt;/basicdatatype&gt;_x000d__x000a_  &lt;/metadata&gt;_x000d__x000a_  &lt;metadata key=&quot;md_DateOfReceipt&quot; translate=&quot;false&quot;&gt;_x000d__x000a_    &lt;text&gt;&lt;/text&gt;_x000d__x000a_  &lt;/metadata&gt;_x000d__x000a_  &lt;metadata key=&quot;md_FreeDate&quot;&gt;_x000d__x000a_    &lt;textlist /&gt;_x000d__x000a_  &lt;/metadata&gt;_x000d__x000a_  &lt;metadata key=&quot;md_PrecedingDocuments&quot; translate=&quot;false&quot;&gt;_x000d__x000a_    &lt;textlist /&gt;_x000d__x000a_  &lt;/metadata&gt;_x000d__x000a_  &lt;metadata key=&quot;md_CommissionDocuments&quot; translate=&quot;false&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 translate=&quot;false&quot;&gt;_x000d__x000a_    &lt;text&gt;&lt;/text&gt;_x000d__x000a_  &lt;/metadata&gt;_x000d__x000a_  &lt;metadata key=&quot;md_MeetingInformation&quot; /&gt;_x000d__x000a_  &lt;metadata key=&quot;md_Item&quot; /&gt;_x000d__x000a_  &lt;metadata key=&quot;md_SubjectPrefix&quot; translate=&quot;false&quot;&gt;_x000d__x000a_    &lt;text&gt;&lt;/text&gt;_x000d__x000a_  &lt;/metadata&gt;_x000d__x000a_  &lt;metadata key=&quot;md_Subject&quot;&gt;_x000d__x000a_    &lt;xaml text=&quot;Osnutek sklepov Sveta o izvajanju strategije EU za mlade (2019&amp;#8211;2021) &amp;#8211; odobritev&quot;&gt;&amp;lt;FlowDocument FontFamily=&quot;Segoe UI&quot; FontSize=&quot;12&quot; PagePadding=&quot;2,2,2,2&quot; AllowDrop=&quot;False&quot; xmlns=&quot;http://schemas.microsoft.com/winfx/2006/xaml/presentation&quot;&amp;gt;&amp;lt;Paragraph&amp;gt;Osnutek sklepov Sveta o izvajanju strategije EU za mlade (2019&amp;#8211;2021)&amp;lt;/Paragraph&amp;gt;&amp;lt;Paragraph&amp;gt;&amp;lt;Run FontStyle=&quot;Italic&quot;&amp;gt;&amp;#8211; odobritev&amp;lt;/Run&amp;gt;&amp;lt;/Paragraph&amp;gt;&amp;lt;/FlowDocument&amp;gt;&lt;/xaml&gt;_x000d__x000a_  &lt;/metadata&gt;_x000d__x000a_  &lt;metadata key=&quot;md_SubjectFootnote&quot; /&gt;_x000d__x000a_  &lt;metadata key=&quot;md_DG&quot; translate=&quot;false&quot;&gt;_x000d__x000a_    &lt;text&gt;TREE.1.B&lt;/text&gt;_x000d__x000a_  &lt;/metadata&gt;_x000d__x000a_  &lt;metadata key=&quot;md_Initials&quot; translate=&quot;false&quot;&gt;_x000d__x000a_    &lt;text&gt;bj&lt;/text&gt;_x000d__x000a_  &lt;/metadata&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21&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lt;/text&gt;_x000d__x000a_  &lt;/metadata&gt;_x000d__x000a_  &lt;metadata key=&quot;md_Rectif_Source2_Suffixes&quot; translate=&quot;false&quot;&gt;_x000d__x000a_    &lt;text&gt;&lt;/text&gt;_x000d__x000a_  &lt;/metadata&gt;_x000d__x000a_  &lt;metadata key=&quot;md_CoverPageDocWithCouncilFooter&quot; translate=&quot;false&quot;&gt;_x000d__x000a_    &lt;text&gt;false&lt;/text&gt;_x000d__x000a_  &lt;/metadata&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translate=&quot;false&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translate=&quot;false&quot;&gt;_x000d__x000a_    &lt;meetings /&gt;_x000d__x000a_  &lt;/metadata&gt;_x000d__x000a_  &lt;metadata key=&quot;md_VisualRepresentation&quot; translate=&quot;false&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COUNCIL"/>
    <w:docVar w:name="DW_DQC_HasErrors" w:val="true"/>
    <w:docVar w:name="VSSDB_IniPath" w:val="\\at100\user\wovo\SEILEG\vss\srcsafe.ini"/>
    <w:docVar w:name="VSSDB_ProjectPath" w:val="$/DocuWrite/DOT/DW_COUNCIL"/>
  </w:docVars>
  <w:rsids>
    <w:rsidRoot w:val="00BF1213"/>
    <w:rsid w:val="000374E4"/>
    <w:rsid w:val="00046245"/>
    <w:rsid w:val="00046542"/>
    <w:rsid w:val="000826B8"/>
    <w:rsid w:val="00082AD6"/>
    <w:rsid w:val="00141C21"/>
    <w:rsid w:val="0016220D"/>
    <w:rsid w:val="001655C6"/>
    <w:rsid w:val="001A7055"/>
    <w:rsid w:val="001B675E"/>
    <w:rsid w:val="001D07E8"/>
    <w:rsid w:val="001E725D"/>
    <w:rsid w:val="002055BC"/>
    <w:rsid w:val="00206CB3"/>
    <w:rsid w:val="002243A0"/>
    <w:rsid w:val="002C0AC1"/>
    <w:rsid w:val="002C2BDD"/>
    <w:rsid w:val="002F7E11"/>
    <w:rsid w:val="00336ED6"/>
    <w:rsid w:val="003F0FE0"/>
    <w:rsid w:val="00400488"/>
    <w:rsid w:val="00420307"/>
    <w:rsid w:val="00440FAD"/>
    <w:rsid w:val="00444058"/>
    <w:rsid w:val="00454FFA"/>
    <w:rsid w:val="004725AF"/>
    <w:rsid w:val="00484C93"/>
    <w:rsid w:val="004909CF"/>
    <w:rsid w:val="004B2049"/>
    <w:rsid w:val="004F161C"/>
    <w:rsid w:val="005065DA"/>
    <w:rsid w:val="00523A69"/>
    <w:rsid w:val="00560050"/>
    <w:rsid w:val="00561C2F"/>
    <w:rsid w:val="005B755E"/>
    <w:rsid w:val="005C76CA"/>
    <w:rsid w:val="005D7A1F"/>
    <w:rsid w:val="005E4535"/>
    <w:rsid w:val="00604FDC"/>
    <w:rsid w:val="00624C52"/>
    <w:rsid w:val="00626464"/>
    <w:rsid w:val="0063312A"/>
    <w:rsid w:val="0064399E"/>
    <w:rsid w:val="00665DDB"/>
    <w:rsid w:val="00687E18"/>
    <w:rsid w:val="00693277"/>
    <w:rsid w:val="006A63B4"/>
    <w:rsid w:val="006B0429"/>
    <w:rsid w:val="007304E8"/>
    <w:rsid w:val="00741305"/>
    <w:rsid w:val="00772954"/>
    <w:rsid w:val="007736EA"/>
    <w:rsid w:val="007B0E08"/>
    <w:rsid w:val="007B7EF1"/>
    <w:rsid w:val="007C1261"/>
    <w:rsid w:val="008025D0"/>
    <w:rsid w:val="008146F9"/>
    <w:rsid w:val="008317B5"/>
    <w:rsid w:val="00842894"/>
    <w:rsid w:val="0085631F"/>
    <w:rsid w:val="00881A53"/>
    <w:rsid w:val="008A3A89"/>
    <w:rsid w:val="008B5BE3"/>
    <w:rsid w:val="008B6014"/>
    <w:rsid w:val="008D3C9A"/>
    <w:rsid w:val="008E4438"/>
    <w:rsid w:val="008F4EDA"/>
    <w:rsid w:val="009318D1"/>
    <w:rsid w:val="00957AEC"/>
    <w:rsid w:val="00986B87"/>
    <w:rsid w:val="009930AF"/>
    <w:rsid w:val="009A420E"/>
    <w:rsid w:val="009C6417"/>
    <w:rsid w:val="009D429B"/>
    <w:rsid w:val="009E31CE"/>
    <w:rsid w:val="009F1469"/>
    <w:rsid w:val="00A27548"/>
    <w:rsid w:val="00A3127F"/>
    <w:rsid w:val="00A45779"/>
    <w:rsid w:val="00A70FBF"/>
    <w:rsid w:val="00A95646"/>
    <w:rsid w:val="00B32675"/>
    <w:rsid w:val="00B5488B"/>
    <w:rsid w:val="00B71D2C"/>
    <w:rsid w:val="00B736E7"/>
    <w:rsid w:val="00B777A6"/>
    <w:rsid w:val="00BF1213"/>
    <w:rsid w:val="00C30F9B"/>
    <w:rsid w:val="00CB2C3C"/>
    <w:rsid w:val="00CC554D"/>
    <w:rsid w:val="00D6573D"/>
    <w:rsid w:val="00D9034A"/>
    <w:rsid w:val="00DA5FF3"/>
    <w:rsid w:val="00DE0172"/>
    <w:rsid w:val="00E111E6"/>
    <w:rsid w:val="00EC3B25"/>
    <w:rsid w:val="00EE1681"/>
    <w:rsid w:val="00F118CB"/>
    <w:rsid w:val="00F17EEA"/>
    <w:rsid w:val="00F63980"/>
    <w:rsid w:val="00F74A14"/>
    <w:rsid w:val="00FA14E4"/>
    <w:rsid w:val="00FB0232"/>
    <w:rsid w:val="00FC3886"/>
    <w:rsid w:val="00FC7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5:docId w15:val="{9022CF89-2241-482D-B4C1-8F877B43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BF1213"/>
    <w:pPr>
      <w:spacing w:before="0" w:after="440"/>
      <w:ind w:left="-1134" w:right="-1134"/>
    </w:pPr>
    <w:rPr>
      <w:sz w:val="2"/>
    </w:rPr>
  </w:style>
  <w:style w:type="character" w:customStyle="1" w:styleId="TechnicalBlockChar">
    <w:name w:val="Technical Block Char"/>
    <w:basedOn w:val="DefaultParagraphFont"/>
    <w:rsid w:val="00BF1213"/>
    <w:rPr>
      <w:rFonts w:ascii="Times New Roman" w:hAnsi="Times New Roman" w:cs="Times New Roman"/>
      <w:sz w:val="24"/>
      <w:lang w:val="sl-SI"/>
    </w:rPr>
  </w:style>
  <w:style w:type="character" w:customStyle="1" w:styleId="HeaderCouncilLargeChar">
    <w:name w:val="Header Council Large Char"/>
    <w:basedOn w:val="TechnicalBlockChar"/>
    <w:link w:val="HeaderCouncilLarge"/>
    <w:rsid w:val="00BF1213"/>
    <w:rPr>
      <w:rFonts w:ascii="Times New Roman" w:hAnsi="Times New Roman" w:cs="Times New Roman"/>
      <w:sz w:val="2"/>
      <w:lang w:val="sl-SI"/>
    </w:rPr>
  </w:style>
  <w:style w:type="paragraph" w:customStyle="1" w:styleId="FooterText">
    <w:name w:val="Footer Text"/>
    <w:basedOn w:val="Normal"/>
    <w:rsid w:val="00BF1213"/>
    <w:pPr>
      <w:spacing w:before="0" w:after="0" w:line="240" w:lineRule="auto"/>
    </w:pPr>
    <w:rPr>
      <w:rFonts w:eastAsia="Times New Roman"/>
      <w:szCs w:val="24"/>
    </w:rPr>
  </w:style>
  <w:style w:type="character" w:styleId="PlaceholderText">
    <w:name w:val="Placeholder Text"/>
    <w:basedOn w:val="DefaultParagraphFont"/>
    <w:uiPriority w:val="99"/>
    <w:semiHidden/>
    <w:rsid w:val="00BF1213"/>
    <w:rPr>
      <w:color w:val="808080"/>
    </w:rPr>
  </w:style>
  <w:style w:type="character" w:styleId="Hyperlink">
    <w:name w:val="Hyperlink"/>
    <w:basedOn w:val="DefaultParagraphFont"/>
    <w:uiPriority w:val="99"/>
    <w:semiHidden/>
    <w:unhideWhenUsed/>
    <w:rsid w:val="00EE1681"/>
    <w:rPr>
      <w:color w:val="0000FF"/>
      <w:u w:val="single"/>
    </w:rPr>
  </w:style>
  <w:style w:type="paragraph" w:styleId="BalloonText">
    <w:name w:val="Balloon Text"/>
    <w:basedOn w:val="Normal"/>
    <w:link w:val="BalloonTextChar"/>
    <w:uiPriority w:val="99"/>
    <w:semiHidden/>
    <w:unhideWhenUsed/>
    <w:rsid w:val="00484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C93"/>
    <w:rPr>
      <w:rFonts w:ascii="Segoe UI" w:hAnsi="Segoe UI" w:cs="Segoe UI"/>
      <w:sz w:val="18"/>
      <w:szCs w:val="18"/>
      <w:lang w:val="sl-SI"/>
    </w:rPr>
  </w:style>
  <w:style w:type="paragraph" w:styleId="ListParagraph">
    <w:name w:val="List Paragraph"/>
    <w:basedOn w:val="Normal"/>
    <w:uiPriority w:val="34"/>
    <w:qFormat/>
    <w:rsid w:val="00484C93"/>
    <w:pPr>
      <w:spacing w:before="0" w:after="0" w:line="240" w:lineRule="auto"/>
      <w:ind w:left="720"/>
      <w:contextualSpacing/>
      <w:jc w:val="both"/>
    </w:pPr>
    <w:rPr>
      <w:rFonts w:eastAsia="Times New Roman"/>
      <w:szCs w:val="24"/>
      <w:lang w:eastAsia="sl-SI"/>
    </w:rPr>
  </w:style>
  <w:style w:type="paragraph" w:customStyle="1" w:styleId="Corpo">
    <w:name w:val="Corpo"/>
    <w:rsid w:val="00484C93"/>
    <w:pPr>
      <w:pBdr>
        <w:top w:val="nil"/>
        <w:left w:val="nil"/>
        <w:bottom w:val="nil"/>
        <w:right w:val="nil"/>
        <w:between w:val="nil"/>
        <w:bar w:val="nil"/>
      </w:pBdr>
      <w:spacing w:before="120" w:after="120" w:line="360" w:lineRule="auto"/>
    </w:pPr>
    <w:rPr>
      <w:rFonts w:ascii="Times New Roman" w:eastAsia="Times New Roman" w:hAnsi="Times New Roman" w:cs="Times New Roman"/>
      <w:color w:val="000000"/>
      <w:sz w:val="24"/>
      <w:szCs w:val="24"/>
      <w:u w:color="000000"/>
      <w:bdr w:val="nil"/>
      <w:lang w:eastAsia="hr-HR"/>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665DDB"/>
    <w:rPr>
      <w:sz w:val="16"/>
      <w:szCs w:val="16"/>
    </w:rPr>
  </w:style>
  <w:style w:type="paragraph" w:styleId="CommentText">
    <w:name w:val="annotation text"/>
    <w:basedOn w:val="Normal"/>
    <w:link w:val="CommentTextChar"/>
    <w:uiPriority w:val="99"/>
    <w:semiHidden/>
    <w:unhideWhenUsed/>
    <w:rsid w:val="00665DDB"/>
    <w:pPr>
      <w:spacing w:line="240" w:lineRule="auto"/>
    </w:pPr>
    <w:rPr>
      <w:sz w:val="20"/>
      <w:szCs w:val="20"/>
    </w:rPr>
  </w:style>
  <w:style w:type="character" w:customStyle="1" w:styleId="CommentTextChar">
    <w:name w:val="Comment Text Char"/>
    <w:basedOn w:val="DefaultParagraphFont"/>
    <w:link w:val="CommentText"/>
    <w:uiPriority w:val="99"/>
    <w:semiHidden/>
    <w:rsid w:val="00665DDB"/>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665DDB"/>
    <w:rPr>
      <w:b/>
      <w:bCs/>
    </w:rPr>
  </w:style>
  <w:style w:type="character" w:customStyle="1" w:styleId="CommentSubjectChar">
    <w:name w:val="Comment Subject Char"/>
    <w:basedOn w:val="CommentTextChar"/>
    <w:link w:val="CommentSubject"/>
    <w:uiPriority w:val="99"/>
    <w:semiHidden/>
    <w:rsid w:val="00665DDB"/>
    <w:rPr>
      <w:rFonts w:ascii="Times New Roman" w:hAnsi="Times New Roman" w:cs="Times New Roman"/>
      <w:b/>
      <w:bCs/>
      <w:sz w:val="20"/>
      <w:szCs w:val="20"/>
      <w:lang w:val="sl-SI"/>
    </w:rPr>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sl-SI"/>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sl-SI"/>
    </w:rPr>
  </w:style>
  <w:style w:type="paragraph" w:styleId="FootnoteText">
    <w:name w:val="footnote text"/>
    <w:basedOn w:val="Normal"/>
    <w:link w:val="FootnoteTextChar"/>
    <w:uiPriority w:val="99"/>
    <w:unhideWhenUsed/>
    <w:rsid w:val="00E111E6"/>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E111E6"/>
    <w:rPr>
      <w:rFonts w:ascii="Times New Roman" w:hAnsi="Times New Roman" w:cs="Times New Roman"/>
      <w:sz w:val="24"/>
      <w:szCs w:val="20"/>
      <w:lang w:val="sl-SI"/>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E111E6"/>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rsid w:val="005C76CA"/>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38"/>
      </w:numPr>
    </w:pPr>
  </w:style>
  <w:style w:type="paragraph" w:customStyle="1" w:styleId="Pointabc1">
    <w:name w:val="Point abc (1)"/>
    <w:basedOn w:val="Normal"/>
    <w:rsid w:val="009C6417"/>
    <w:pPr>
      <w:numPr>
        <w:ilvl w:val="3"/>
        <w:numId w:val="38"/>
      </w:numPr>
    </w:pPr>
  </w:style>
  <w:style w:type="paragraph" w:customStyle="1" w:styleId="Pointabc2">
    <w:name w:val="Point abc (2)"/>
    <w:basedOn w:val="Normal"/>
    <w:rsid w:val="009C6417"/>
    <w:pPr>
      <w:numPr>
        <w:ilvl w:val="5"/>
        <w:numId w:val="38"/>
      </w:numPr>
    </w:pPr>
  </w:style>
  <w:style w:type="paragraph" w:customStyle="1" w:styleId="Pointabc3">
    <w:name w:val="Point abc (3)"/>
    <w:basedOn w:val="Normal"/>
    <w:rsid w:val="009C6417"/>
    <w:pPr>
      <w:numPr>
        <w:ilvl w:val="7"/>
        <w:numId w:val="38"/>
      </w:numPr>
    </w:pPr>
  </w:style>
  <w:style w:type="paragraph" w:customStyle="1" w:styleId="Pointabc4">
    <w:name w:val="Point abc (4)"/>
    <w:basedOn w:val="Normal"/>
    <w:rsid w:val="009C6417"/>
    <w:pPr>
      <w:numPr>
        <w:ilvl w:val="8"/>
        <w:numId w:val="38"/>
      </w:numPr>
    </w:pPr>
  </w:style>
  <w:style w:type="paragraph" w:customStyle="1" w:styleId="Point123">
    <w:name w:val="Point 123"/>
    <w:basedOn w:val="Normal"/>
    <w:rsid w:val="009C6417"/>
    <w:pPr>
      <w:numPr>
        <w:numId w:val="38"/>
      </w:numPr>
    </w:pPr>
  </w:style>
  <w:style w:type="paragraph" w:customStyle="1" w:styleId="Point1231">
    <w:name w:val="Point 123 (1)"/>
    <w:basedOn w:val="Normal"/>
    <w:rsid w:val="009C6417"/>
    <w:pPr>
      <w:numPr>
        <w:ilvl w:val="2"/>
        <w:numId w:val="38"/>
      </w:numPr>
    </w:pPr>
  </w:style>
  <w:style w:type="paragraph" w:customStyle="1" w:styleId="Point1232">
    <w:name w:val="Point 123 (2)"/>
    <w:basedOn w:val="Normal"/>
    <w:rsid w:val="009C6417"/>
    <w:pPr>
      <w:numPr>
        <w:ilvl w:val="4"/>
        <w:numId w:val="38"/>
      </w:numPr>
    </w:pPr>
  </w:style>
  <w:style w:type="paragraph" w:customStyle="1" w:styleId="Point1233">
    <w:name w:val="Point 123 (3)"/>
    <w:basedOn w:val="Normal"/>
    <w:rsid w:val="009C6417"/>
    <w:pPr>
      <w:numPr>
        <w:ilvl w:val="6"/>
        <w:numId w:val="38"/>
      </w:numPr>
    </w:pPr>
  </w:style>
  <w:style w:type="paragraph" w:customStyle="1" w:styleId="Pointivx">
    <w:name w:val="Point ivx"/>
    <w:basedOn w:val="Normal"/>
    <w:rsid w:val="009C6417"/>
    <w:pPr>
      <w:numPr>
        <w:numId w:val="39"/>
      </w:numPr>
    </w:pPr>
  </w:style>
  <w:style w:type="paragraph" w:customStyle="1" w:styleId="Pointivx1">
    <w:name w:val="Point ivx (1)"/>
    <w:basedOn w:val="Normal"/>
    <w:rsid w:val="009C6417"/>
    <w:pPr>
      <w:numPr>
        <w:ilvl w:val="1"/>
        <w:numId w:val="39"/>
      </w:numPr>
    </w:pPr>
  </w:style>
  <w:style w:type="paragraph" w:customStyle="1" w:styleId="Pointivx2">
    <w:name w:val="Point ivx (2)"/>
    <w:basedOn w:val="Normal"/>
    <w:rsid w:val="009C6417"/>
    <w:pPr>
      <w:numPr>
        <w:ilvl w:val="2"/>
        <w:numId w:val="39"/>
      </w:numPr>
    </w:pPr>
  </w:style>
  <w:style w:type="paragraph" w:customStyle="1" w:styleId="Pointivx3">
    <w:name w:val="Point ivx (3)"/>
    <w:basedOn w:val="Normal"/>
    <w:rsid w:val="009C6417"/>
    <w:pPr>
      <w:numPr>
        <w:ilvl w:val="3"/>
        <w:numId w:val="39"/>
      </w:numPr>
    </w:pPr>
  </w:style>
  <w:style w:type="paragraph" w:customStyle="1" w:styleId="Pointivx4">
    <w:name w:val="Point ivx (4)"/>
    <w:basedOn w:val="Normal"/>
    <w:rsid w:val="009C6417"/>
    <w:pPr>
      <w:numPr>
        <w:ilvl w:val="4"/>
        <w:numId w:val="39"/>
      </w:numPr>
    </w:pPr>
  </w:style>
  <w:style w:type="paragraph" w:customStyle="1" w:styleId="Bullet">
    <w:name w:val="Bullet"/>
    <w:basedOn w:val="Normal"/>
    <w:rsid w:val="009C6417"/>
    <w:pPr>
      <w:numPr>
        <w:numId w:val="33"/>
      </w:numPr>
    </w:pPr>
  </w:style>
  <w:style w:type="paragraph" w:customStyle="1" w:styleId="Bullet1">
    <w:name w:val="Bullet 1"/>
    <w:basedOn w:val="Normal"/>
    <w:rsid w:val="009C6417"/>
    <w:pPr>
      <w:numPr>
        <w:numId w:val="34"/>
      </w:numPr>
    </w:pPr>
  </w:style>
  <w:style w:type="paragraph" w:customStyle="1" w:styleId="Bullet2">
    <w:name w:val="Bullet 2"/>
    <w:basedOn w:val="Normal"/>
    <w:rsid w:val="009C6417"/>
    <w:pPr>
      <w:numPr>
        <w:numId w:val="35"/>
      </w:numPr>
    </w:pPr>
  </w:style>
  <w:style w:type="paragraph" w:customStyle="1" w:styleId="Bullet3">
    <w:name w:val="Bullet 3"/>
    <w:basedOn w:val="Normal"/>
    <w:rsid w:val="009C6417"/>
    <w:pPr>
      <w:numPr>
        <w:numId w:val="36"/>
      </w:numPr>
    </w:pPr>
  </w:style>
  <w:style w:type="paragraph" w:customStyle="1" w:styleId="Bullet4">
    <w:name w:val="Bullet 4"/>
    <w:basedOn w:val="Normal"/>
    <w:rsid w:val="009C6417"/>
    <w:pPr>
      <w:numPr>
        <w:numId w:val="37"/>
      </w:numPr>
    </w:pPr>
  </w:style>
  <w:style w:type="paragraph" w:customStyle="1" w:styleId="Dash">
    <w:name w:val="Dash"/>
    <w:basedOn w:val="Normal"/>
    <w:rsid w:val="009C6417"/>
    <w:pPr>
      <w:numPr>
        <w:numId w:val="23"/>
      </w:numPr>
    </w:pPr>
  </w:style>
  <w:style w:type="paragraph" w:customStyle="1" w:styleId="Dash1">
    <w:name w:val="Dash 1"/>
    <w:basedOn w:val="Normal"/>
    <w:rsid w:val="009C6417"/>
    <w:pPr>
      <w:numPr>
        <w:numId w:val="24"/>
      </w:numPr>
    </w:pPr>
  </w:style>
  <w:style w:type="paragraph" w:customStyle="1" w:styleId="Dash2">
    <w:name w:val="Dash 2"/>
    <w:basedOn w:val="Normal"/>
    <w:rsid w:val="009C6417"/>
    <w:pPr>
      <w:numPr>
        <w:numId w:val="25"/>
      </w:numPr>
    </w:pPr>
  </w:style>
  <w:style w:type="paragraph" w:customStyle="1" w:styleId="Dash3">
    <w:name w:val="Dash 3"/>
    <w:basedOn w:val="Normal"/>
    <w:rsid w:val="009C6417"/>
    <w:pPr>
      <w:numPr>
        <w:numId w:val="26"/>
      </w:numPr>
    </w:pPr>
  </w:style>
  <w:style w:type="paragraph" w:customStyle="1" w:styleId="Dash4">
    <w:name w:val="Dash 4"/>
    <w:basedOn w:val="Normal"/>
    <w:rsid w:val="009C6417"/>
    <w:pPr>
      <w:numPr>
        <w:numId w:val="27"/>
      </w:numPr>
    </w:pPr>
  </w:style>
  <w:style w:type="paragraph" w:customStyle="1" w:styleId="DashEqual">
    <w:name w:val="Dash Equal"/>
    <w:basedOn w:val="Dash"/>
    <w:rsid w:val="009C6417"/>
    <w:pPr>
      <w:numPr>
        <w:numId w:val="28"/>
      </w:numPr>
    </w:pPr>
  </w:style>
  <w:style w:type="paragraph" w:customStyle="1" w:styleId="DashEqual1">
    <w:name w:val="Dash Equal 1"/>
    <w:basedOn w:val="Dash1"/>
    <w:rsid w:val="009C6417"/>
    <w:pPr>
      <w:numPr>
        <w:numId w:val="29"/>
      </w:numPr>
    </w:pPr>
  </w:style>
  <w:style w:type="paragraph" w:customStyle="1" w:styleId="DashEqual2">
    <w:name w:val="Dash Equal 2"/>
    <w:basedOn w:val="Dash2"/>
    <w:rsid w:val="009C6417"/>
    <w:pPr>
      <w:numPr>
        <w:numId w:val="30"/>
      </w:numPr>
    </w:pPr>
  </w:style>
  <w:style w:type="paragraph" w:customStyle="1" w:styleId="DashEqual3">
    <w:name w:val="Dash Equal 3"/>
    <w:basedOn w:val="Dash3"/>
    <w:rsid w:val="009C6417"/>
    <w:pPr>
      <w:numPr>
        <w:numId w:val="31"/>
      </w:numPr>
    </w:pPr>
  </w:style>
  <w:style w:type="paragraph" w:customStyle="1" w:styleId="DashEqual4">
    <w:name w:val="Dash Equal 4"/>
    <w:basedOn w:val="Dash4"/>
    <w:rsid w:val="009C6417"/>
    <w:pPr>
      <w:numPr>
        <w:numId w:val="32"/>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42"/>
      </w:numPr>
    </w:pPr>
  </w:style>
  <w:style w:type="paragraph" w:customStyle="1" w:styleId="Heading123">
    <w:name w:val="Heading 123"/>
    <w:basedOn w:val="HeadingLeft"/>
    <w:next w:val="Normal"/>
    <w:rsid w:val="009C6417"/>
    <w:pPr>
      <w:numPr>
        <w:numId w:val="41"/>
      </w:numPr>
    </w:pPr>
  </w:style>
  <w:style w:type="paragraph" w:customStyle="1" w:styleId="HeadingABC">
    <w:name w:val="Heading ABC"/>
    <w:basedOn w:val="HeadingLeft"/>
    <w:next w:val="Normal"/>
    <w:rsid w:val="009C6417"/>
    <w:pPr>
      <w:numPr>
        <w:numId w:val="40"/>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sl-SI"/>
    </w:rPr>
  </w:style>
  <w:style w:type="character" w:styleId="EndnoteReference">
    <w:name w:val="endnote reference"/>
    <w:basedOn w:val="DefaultParagraphFont"/>
    <w:uiPriority w:val="99"/>
    <w:semiHidden/>
    <w:unhideWhenUsed/>
    <w:rsid w:val="001B6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9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30432-EDDC-48A1-ABD2-651E81934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0</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OLIVARES Fernanda (External)</dc:creator>
  <cp:keywords/>
  <dc:description/>
  <cp:lastModifiedBy>BERNARD Jernej</cp:lastModifiedBy>
  <cp:revision>3</cp:revision>
  <cp:lastPrinted>2021-11-10T13:03:00Z</cp:lastPrinted>
  <dcterms:created xsi:type="dcterms:W3CDTF">2021-11-16T09:54:00Z</dcterms:created>
  <dcterms:modified xsi:type="dcterms:W3CDTF">2021-11-16T09:54:00Z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DocuWrite 4.5.2, Build 20210531</vt:lpwstr>
  </property>
  <property fmtid="{D5CDD505-2E9C-101B-9397-08002B2CF9AE}" pid="3" name="Last edited using">
    <vt:lpwstr>DocuWrite 4.5.2, Build 20210531</vt:lpwstr>
  </property>
  <property fmtid="{D5CDD505-2E9C-101B-9397-08002B2CF9AE}" pid="4" name="SkipControlLengthPage">
    <vt:lpwstr/>
  </property>
</Properties>
</file>